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D4BEE" w14:textId="77777777" w:rsidR="00D9240A" w:rsidRPr="0039583A" w:rsidRDefault="00D9240A" w:rsidP="00D9240A">
      <w:pPr>
        <w:jc w:val="center"/>
        <w:rPr>
          <w:rFonts w:ascii="Times New Roman" w:hAnsi="Times New Roman" w:cs="Times New Roman"/>
          <w:b/>
          <w:color w:val="202124"/>
          <w:sz w:val="22"/>
          <w:szCs w:val="22"/>
          <w:shd w:val="clear" w:color="auto" w:fill="FFFFFF"/>
        </w:rPr>
      </w:pPr>
      <w:r w:rsidRPr="0039583A">
        <w:rPr>
          <w:rFonts w:ascii="Times New Roman" w:hAnsi="Times New Roman" w:cs="Times New Roman"/>
          <w:b/>
          <w:color w:val="202124"/>
          <w:sz w:val="22"/>
          <w:szCs w:val="22"/>
          <w:shd w:val="clear" w:color="auto" w:fill="FFFFFF"/>
        </w:rPr>
        <w:t>ÇANKIRI KARATEKİN ÜNİVERSİTESİ</w:t>
      </w:r>
    </w:p>
    <w:p w14:paraId="6606DC40" w14:textId="77777777" w:rsidR="00D9240A" w:rsidRPr="0039583A" w:rsidRDefault="00D9240A" w:rsidP="00D9240A">
      <w:pPr>
        <w:jc w:val="center"/>
        <w:rPr>
          <w:rFonts w:ascii="Times New Roman" w:hAnsi="Times New Roman" w:cs="Times New Roman"/>
          <w:b/>
          <w:color w:val="202124"/>
          <w:sz w:val="22"/>
          <w:szCs w:val="22"/>
          <w:shd w:val="clear" w:color="auto" w:fill="FFFFFF"/>
        </w:rPr>
      </w:pPr>
      <w:r w:rsidRPr="0039583A">
        <w:rPr>
          <w:rFonts w:ascii="Times New Roman" w:hAnsi="Times New Roman" w:cs="Times New Roman"/>
          <w:b/>
          <w:color w:val="202124"/>
          <w:sz w:val="22"/>
          <w:szCs w:val="22"/>
          <w:shd w:val="clear" w:color="auto" w:fill="FFFFFF"/>
        </w:rPr>
        <w:t>FEN FAKÜLTESİ MATEMATİK BÖLÜMÜ</w:t>
      </w:r>
    </w:p>
    <w:p w14:paraId="303C6795" w14:textId="2B4A9C1C" w:rsidR="00D9240A" w:rsidRPr="0039583A" w:rsidRDefault="00D9240A" w:rsidP="00D9240A">
      <w:pPr>
        <w:jc w:val="center"/>
        <w:rPr>
          <w:rFonts w:ascii="Times New Roman" w:hAnsi="Times New Roman" w:cs="Times New Roman"/>
          <w:b/>
          <w:color w:val="202124"/>
          <w:sz w:val="22"/>
          <w:szCs w:val="22"/>
          <w:shd w:val="clear" w:color="auto" w:fill="FFFFFF"/>
        </w:rPr>
      </w:pPr>
      <w:r w:rsidRPr="0039583A">
        <w:rPr>
          <w:rFonts w:ascii="Times New Roman" w:hAnsi="Times New Roman" w:cs="Times New Roman"/>
          <w:b/>
          <w:color w:val="202124"/>
          <w:sz w:val="22"/>
          <w:szCs w:val="22"/>
          <w:shd w:val="clear" w:color="auto" w:fill="FFFFFF"/>
        </w:rPr>
        <w:t>202</w:t>
      </w:r>
      <w:r w:rsidRPr="0039583A">
        <w:rPr>
          <w:rFonts w:ascii="Times New Roman" w:hAnsi="Times New Roman" w:cs="Times New Roman"/>
          <w:b/>
          <w:color w:val="202124"/>
          <w:sz w:val="22"/>
          <w:szCs w:val="22"/>
          <w:shd w:val="clear" w:color="auto" w:fill="FFFFFF"/>
        </w:rPr>
        <w:t>5</w:t>
      </w:r>
      <w:r w:rsidRPr="0039583A">
        <w:rPr>
          <w:rFonts w:ascii="Times New Roman" w:hAnsi="Times New Roman" w:cs="Times New Roman"/>
          <w:b/>
          <w:color w:val="202124"/>
          <w:sz w:val="22"/>
          <w:szCs w:val="22"/>
          <w:shd w:val="clear" w:color="auto" w:fill="FFFFFF"/>
        </w:rPr>
        <w:t>-202</w:t>
      </w:r>
      <w:r w:rsidRPr="0039583A">
        <w:rPr>
          <w:rFonts w:ascii="Times New Roman" w:hAnsi="Times New Roman" w:cs="Times New Roman"/>
          <w:b/>
          <w:color w:val="202124"/>
          <w:sz w:val="22"/>
          <w:szCs w:val="22"/>
          <w:shd w:val="clear" w:color="auto" w:fill="FFFFFF"/>
        </w:rPr>
        <w:t>6</w:t>
      </w:r>
      <w:r w:rsidRPr="0039583A">
        <w:rPr>
          <w:rFonts w:ascii="Times New Roman" w:hAnsi="Times New Roman" w:cs="Times New Roman"/>
          <w:b/>
          <w:color w:val="202124"/>
          <w:sz w:val="22"/>
          <w:szCs w:val="22"/>
          <w:shd w:val="clear" w:color="auto" w:fill="FFFFFF"/>
        </w:rPr>
        <w:t xml:space="preserve"> YILI </w:t>
      </w:r>
      <w:r w:rsidRPr="0039583A">
        <w:rPr>
          <w:rFonts w:ascii="Times New Roman" w:hAnsi="Times New Roman" w:cs="Times New Roman"/>
          <w:b/>
          <w:color w:val="202124"/>
          <w:sz w:val="22"/>
          <w:szCs w:val="22"/>
          <w:shd w:val="clear" w:color="auto" w:fill="FFFFFF"/>
        </w:rPr>
        <w:t>GÜZ</w:t>
      </w:r>
      <w:r w:rsidRPr="0039583A">
        <w:rPr>
          <w:rFonts w:ascii="Times New Roman" w:hAnsi="Times New Roman" w:cs="Times New Roman"/>
          <w:b/>
          <w:color w:val="202124"/>
          <w:sz w:val="22"/>
          <w:szCs w:val="22"/>
          <w:shd w:val="clear" w:color="auto" w:fill="FFFFFF"/>
        </w:rPr>
        <w:t xml:space="preserve"> YARIYILI</w:t>
      </w:r>
    </w:p>
    <w:p w14:paraId="185E7AED" w14:textId="77777777" w:rsidR="00D9240A" w:rsidRPr="0039583A" w:rsidRDefault="00D9240A" w:rsidP="00D9240A">
      <w:pPr>
        <w:jc w:val="center"/>
        <w:rPr>
          <w:rFonts w:ascii="Times New Roman" w:hAnsi="Times New Roman" w:cs="Times New Roman"/>
          <w:b/>
          <w:color w:val="202124"/>
          <w:sz w:val="22"/>
          <w:szCs w:val="22"/>
          <w:shd w:val="clear" w:color="auto" w:fill="FFFFFF"/>
        </w:rPr>
      </w:pPr>
      <w:r w:rsidRPr="0039583A">
        <w:rPr>
          <w:rFonts w:ascii="Times New Roman" w:hAnsi="Times New Roman" w:cs="Times New Roman"/>
          <w:b/>
          <w:color w:val="202124"/>
          <w:sz w:val="22"/>
          <w:szCs w:val="22"/>
          <w:shd w:val="clear" w:color="auto" w:fill="FFFFFF"/>
        </w:rPr>
        <w:t>AKTS ÖĞRENCİ İŞ YÜKÜ DEĞERLENDİRME ANKET DEĞERLENDİRMESİ</w:t>
      </w:r>
    </w:p>
    <w:p w14:paraId="682A78CA" w14:textId="1393FEF2" w:rsidR="00D9240A" w:rsidRPr="00D9240A" w:rsidRDefault="00D9240A" w:rsidP="00D9240A">
      <w:pPr>
        <w:rPr>
          <w:sz w:val="22"/>
          <w:szCs w:val="22"/>
        </w:rPr>
      </w:pPr>
      <w:r w:rsidRPr="00D9240A">
        <w:rPr>
          <w:sz w:val="22"/>
          <w:szCs w:val="22"/>
        </w:rPr>
        <w:t xml:space="preserve">Genel olarak tablo incelendiğinde, ankete katılım oranlarının dersler arasında oldukça değişken olduğu, bazı derslerde katılımın oldukça düşük hatta sıfır olduğu görülmektedir. Bu durum, elde edilen sonuçların genellenebilirliğini ve güvenilirliğini sınırlayan önemli bir faktördür. </w:t>
      </w:r>
    </w:p>
    <w:p w14:paraId="5E7F6842" w14:textId="77777777" w:rsidR="002D0295" w:rsidRPr="002D0295" w:rsidRDefault="002D0295" w:rsidP="002D0295">
      <w:pPr>
        <w:rPr>
          <w:sz w:val="22"/>
          <w:szCs w:val="22"/>
        </w:rPr>
      </w:pPr>
      <w:r w:rsidRPr="002D0295">
        <w:rPr>
          <w:sz w:val="22"/>
          <w:szCs w:val="22"/>
        </w:rPr>
        <w:t>Katılımın olduğu dersler dikkate alındığında, genel olarak hesaplanan AKTS değerlerinin çoğu derste gerçek AKTS değerlerinin altında kaldığı görülmektedir. Ders bileşenleri incelendiğinde, ara sınav ve final sınavlarına ayrılan sürelerin büyük ölçüde beklenen düzeylerde olduğu anlaşılmaktadır. Buna karşın, bireysel çalışma sürelerinin çoğu derste belirgin biçimde düşük çıkması, AKTS değerleri arasındaki farkın temel nedeni olarak öne çıkmaktadır. Özellikle 4. sınıf dersleri ile Kompleks Analiz I, Cebir I ve İleri Analiz I derslerinde bu farkın diğer derslere kıyasla daha belirgin olduğu dikkat çekmektedir.</w:t>
      </w:r>
    </w:p>
    <w:p w14:paraId="58CFA390" w14:textId="77777777" w:rsidR="002D0295" w:rsidRPr="002D0295" w:rsidRDefault="002D0295" w:rsidP="002D0295">
      <w:pPr>
        <w:rPr>
          <w:sz w:val="22"/>
          <w:szCs w:val="22"/>
        </w:rPr>
      </w:pPr>
      <w:r w:rsidRPr="002D0295">
        <w:rPr>
          <w:sz w:val="22"/>
          <w:szCs w:val="22"/>
        </w:rPr>
        <w:t>Bununla birlikte, genel katılım oranlarının düşük olması elde edilen bulguların temsil gücünü sınırlamakta; ancak mevcut veriler, bazı derslerde öğrencilerin öngördüğü iş yükünün beklenenden daha düşük olabileceğine işaret etmektedir. Öte yandan, Programlamaya Giriş, Fourier Analiz ve Soyut Matematik I derslerinde hesaplanan iş yükü ile gerçek AKTS değerlerinin büyük ölçüde örtüştüğü ve bu derslerde iş yükünün daha isabetli tahmin edildiği görülmektedir.</w:t>
      </w:r>
    </w:p>
    <w:p w14:paraId="65EEDE26" w14:textId="77777777" w:rsidR="00D9240A" w:rsidRPr="0039583A" w:rsidRDefault="00D9240A" w:rsidP="00D9240A">
      <w:pPr>
        <w:rPr>
          <w:sz w:val="22"/>
          <w:szCs w:val="22"/>
        </w:rPr>
      </w:pPr>
      <w:r w:rsidRPr="00D9240A">
        <w:rPr>
          <w:sz w:val="22"/>
          <w:szCs w:val="22"/>
        </w:rPr>
        <w:t>Proje veya ödev ağırlıklı derslerde (örneğin Matematik Tarihi, Mesleki İngilizce I) ise öğrencilerin ödev/proje sürelerini genellikle gerçek değerlere yakın algıladığı, ancak yine bireysel çalışma sürelerinin düşük kaldığı görülmektedir. Bu durum, öğrencilerin daha çok zorunlu görevler üzerinden çalıştığını, bağımsız öğrenme süreçlerinin ise sınırlı olduğunu göstermektedir.</w:t>
      </w:r>
    </w:p>
    <w:p w14:paraId="452E5FD3" w14:textId="77777777" w:rsidR="0039583A" w:rsidRPr="0039583A" w:rsidRDefault="0039583A" w:rsidP="0039583A">
      <w:pPr>
        <w:rPr>
          <w:sz w:val="22"/>
          <w:szCs w:val="22"/>
        </w:rPr>
      </w:pPr>
      <w:r w:rsidRPr="0039583A">
        <w:rPr>
          <w:sz w:val="22"/>
          <w:szCs w:val="22"/>
        </w:rPr>
        <w:t>Hesaplanan AKTS değerlerinin daha sağlıklı ve gerçekçi biçimde belirlenebilmesi için bazı iyileştirmeler yapılması önerilmektedir. Bu kapsamda, öncelikle ilgili derslerin içerikleri gözden geçirilerek zenginleştirilebilir. Ayrıca, ankette yer alan bireysel çalışma sürelerine ilişkin soruların zorunlu hale getirilmesi, öğrencilerin bu alandaki katkılarının daha doğru ölçülmesine imkân sağlayacaktır.</w:t>
      </w:r>
    </w:p>
    <w:p w14:paraId="053DC472" w14:textId="24785FA3" w:rsidR="0039583A" w:rsidRPr="0039583A" w:rsidRDefault="0039583A" w:rsidP="0039583A">
      <w:pPr>
        <w:rPr>
          <w:sz w:val="22"/>
          <w:szCs w:val="22"/>
        </w:rPr>
      </w:pPr>
      <w:r w:rsidRPr="0039583A">
        <w:rPr>
          <w:sz w:val="22"/>
          <w:szCs w:val="22"/>
        </w:rPr>
        <w:t xml:space="preserve">Bunun yanı sıra, ölçme ve değerlendirme süreçlerinde </w:t>
      </w:r>
      <w:proofErr w:type="spellStart"/>
      <w:r w:rsidRPr="0039583A">
        <w:rPr>
          <w:sz w:val="22"/>
          <w:szCs w:val="22"/>
        </w:rPr>
        <w:t>quiz</w:t>
      </w:r>
      <w:proofErr w:type="spellEnd"/>
      <w:r w:rsidRPr="0039583A">
        <w:rPr>
          <w:sz w:val="22"/>
          <w:szCs w:val="22"/>
        </w:rPr>
        <w:t>, proje ve ödev gibi alternatif araçların artırılması, iş yükünün daha dengeli dağıtılmasına katkı sağlayabilir. Katılım oranlarının düşük olduğu derslerde ise öğrencilere AKTS sisteminin tanımı, amacı ve işlevi hakkında bilgilendirme yapılması faydalı olacaktır</w:t>
      </w:r>
      <w:r w:rsidRPr="0039583A">
        <w:rPr>
          <w:sz w:val="22"/>
          <w:szCs w:val="22"/>
        </w:rPr>
        <w:t xml:space="preserve">. </w:t>
      </w:r>
      <w:r w:rsidRPr="0039583A">
        <w:rPr>
          <w:sz w:val="22"/>
          <w:szCs w:val="22"/>
        </w:rPr>
        <w:t>Öte yandan, öğrencilerin özellikle sınav dönemlerinde yaşadığı yoğunluk ve stresin ankete katılımı olumsuz</w:t>
      </w:r>
      <w:r w:rsidRPr="0039583A">
        <w:rPr>
          <w:sz w:val="22"/>
          <w:szCs w:val="22"/>
        </w:rPr>
        <w:t xml:space="preserve"> </w:t>
      </w:r>
      <w:r w:rsidRPr="0039583A">
        <w:rPr>
          <w:sz w:val="22"/>
          <w:szCs w:val="22"/>
        </w:rPr>
        <w:t>etkilediği dikkate alınarak, anketlerin daha uygun zaman dilimlerinde uygulanması önerilmektedir.</w:t>
      </w:r>
    </w:p>
    <w:p w14:paraId="7FC7D938" w14:textId="77777777" w:rsidR="00B14419" w:rsidRPr="0039583A" w:rsidRDefault="00B14419">
      <w:pPr>
        <w:rPr>
          <w:sz w:val="22"/>
          <w:szCs w:val="22"/>
        </w:rPr>
      </w:pPr>
    </w:p>
    <w:sectPr w:rsidR="00B14419" w:rsidRPr="003958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63882"/>
    <w:multiLevelType w:val="multilevel"/>
    <w:tmpl w:val="3F2E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2852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40A"/>
    <w:rsid w:val="000069D5"/>
    <w:rsid w:val="000C0183"/>
    <w:rsid w:val="002964A9"/>
    <w:rsid w:val="002D0295"/>
    <w:rsid w:val="00337652"/>
    <w:rsid w:val="003456C8"/>
    <w:rsid w:val="00383EC1"/>
    <w:rsid w:val="0039583A"/>
    <w:rsid w:val="0060150B"/>
    <w:rsid w:val="006C5AE2"/>
    <w:rsid w:val="00B14419"/>
    <w:rsid w:val="00D9240A"/>
    <w:rsid w:val="00E223C4"/>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D3EC"/>
  <w15:chartTrackingRefBased/>
  <w15:docId w15:val="{C70B76C1-90A5-44FC-90E9-ED8210B77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D924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D924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D9240A"/>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D9240A"/>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D9240A"/>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D9240A"/>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D9240A"/>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D9240A"/>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D9240A"/>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9240A"/>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D9240A"/>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D9240A"/>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D9240A"/>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D9240A"/>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D9240A"/>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D9240A"/>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D9240A"/>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D9240A"/>
    <w:rPr>
      <w:rFonts w:eastAsiaTheme="majorEastAsia" w:cstheme="majorBidi"/>
      <w:color w:val="272727" w:themeColor="text1" w:themeTint="D8"/>
    </w:rPr>
  </w:style>
  <w:style w:type="paragraph" w:styleId="KonuBal">
    <w:name w:val="Title"/>
    <w:basedOn w:val="Normal"/>
    <w:next w:val="Normal"/>
    <w:link w:val="KonuBalChar"/>
    <w:uiPriority w:val="10"/>
    <w:qFormat/>
    <w:rsid w:val="00D924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D9240A"/>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D9240A"/>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D9240A"/>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D9240A"/>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D9240A"/>
    <w:rPr>
      <w:i/>
      <w:iCs/>
      <w:color w:val="404040" w:themeColor="text1" w:themeTint="BF"/>
    </w:rPr>
  </w:style>
  <w:style w:type="paragraph" w:styleId="ListeParagraf">
    <w:name w:val="List Paragraph"/>
    <w:basedOn w:val="Normal"/>
    <w:uiPriority w:val="34"/>
    <w:qFormat/>
    <w:rsid w:val="00D9240A"/>
    <w:pPr>
      <w:ind w:left="720"/>
      <w:contextualSpacing/>
    </w:pPr>
  </w:style>
  <w:style w:type="character" w:styleId="GlVurgulama">
    <w:name w:val="Intense Emphasis"/>
    <w:basedOn w:val="VarsaylanParagrafYazTipi"/>
    <w:uiPriority w:val="21"/>
    <w:qFormat/>
    <w:rsid w:val="00D9240A"/>
    <w:rPr>
      <w:i/>
      <w:iCs/>
      <w:color w:val="0F4761" w:themeColor="accent1" w:themeShade="BF"/>
    </w:rPr>
  </w:style>
  <w:style w:type="paragraph" w:styleId="GlAlnt">
    <w:name w:val="Intense Quote"/>
    <w:basedOn w:val="Normal"/>
    <w:next w:val="Normal"/>
    <w:link w:val="GlAlntChar"/>
    <w:uiPriority w:val="30"/>
    <w:qFormat/>
    <w:rsid w:val="00D924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D9240A"/>
    <w:rPr>
      <w:i/>
      <w:iCs/>
      <w:color w:val="0F4761" w:themeColor="accent1" w:themeShade="BF"/>
    </w:rPr>
  </w:style>
  <w:style w:type="character" w:styleId="GlBavuru">
    <w:name w:val="Intense Reference"/>
    <w:basedOn w:val="VarsaylanParagrafYazTipi"/>
    <w:uiPriority w:val="32"/>
    <w:qFormat/>
    <w:rsid w:val="00D9240A"/>
    <w:rPr>
      <w:b/>
      <w:bCs/>
      <w:smallCaps/>
      <w:color w:val="0F4761" w:themeColor="accent1" w:themeShade="BF"/>
      <w:spacing w:val="5"/>
    </w:rPr>
  </w:style>
  <w:style w:type="paragraph" w:styleId="NormalWeb">
    <w:name w:val="Normal (Web)"/>
    <w:basedOn w:val="Normal"/>
    <w:uiPriority w:val="99"/>
    <w:unhideWhenUsed/>
    <w:rsid w:val="002964A9"/>
    <w:pPr>
      <w:spacing w:before="100" w:beforeAutospacing="1" w:after="100" w:afterAutospacing="1" w:line="240" w:lineRule="auto"/>
    </w:pPr>
    <w:rPr>
      <w:rFonts w:ascii="Times New Roman" w:eastAsia="Times New Roman" w:hAnsi="Times New Roman" w:cs="Times New Roman"/>
      <w:kern w:val="0"/>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419</Words>
  <Characters>2391</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HANIFE VARLI</dc:creator>
  <cp:keywords/>
  <dc:description/>
  <cp:lastModifiedBy>HANIFE VARLI</cp:lastModifiedBy>
  <cp:revision>1</cp:revision>
  <dcterms:created xsi:type="dcterms:W3CDTF">2026-04-16T07:02:00Z</dcterms:created>
  <dcterms:modified xsi:type="dcterms:W3CDTF">2026-04-16T08:26:00Z</dcterms:modified>
</cp:coreProperties>
</file>